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pdf-to-html-checklist"/>
    <w:p>
      <w:pPr>
        <w:pStyle w:val="Heading2"/>
      </w:pPr>
      <w:r>
        <w:t xml:space="preserve">PDF-to-HTML Checklist</w:t>
      </w:r>
    </w:p>
    <w:p>
      <w:pPr>
        <w:pStyle w:val="FirstParagraph"/>
      </w:pPr>
      <w:r>
        <w:t xml:space="preserve">Factors to consider when converting existing long-form reports and toolkits from a single large PDF to interactive HTML web content.</w:t>
      </w:r>
    </w:p>
    <w:p>
      <w:pPr>
        <w:pStyle w:val="BodyText"/>
      </w:pPr>
      <w:r>
        <w:t xml:space="preserve">For more tools and ideas visit</w:t>
      </w:r>
      <w:r>
        <w:t xml:space="preserve"> </w:t>
      </w:r>
      <w:hyperlink r:id="rId20">
        <w:r>
          <w:rPr>
            <w:rStyle w:val="Hyperlink"/>
          </w:rPr>
          <w:t xml:space="preserve">reportkitchen.com</w:t>
        </w:r>
      </w:hyperlink>
    </w:p>
    <w:bookmarkStart w:id="21" w:name="make-it-friendly-for-human-readers"/>
    <w:p>
      <w:pPr>
        <w:pStyle w:val="Heading3"/>
      </w:pPr>
      <w:r>
        <w:t xml:space="preserve">Make it friendly for human readers</w:t>
      </w:r>
    </w:p>
    <w:p>
      <w:pPr>
        <w:numPr>
          <w:ilvl w:val="0"/>
          <w:numId w:val="1001"/>
        </w:numPr>
        <w:pStyle w:val="Compact"/>
      </w:pPr>
      <w:r>
        <w:t xml:space="preserve">Use a comfortable text width and readable type size.</w:t>
      </w:r>
    </w:p>
    <w:p>
      <w:pPr>
        <w:numPr>
          <w:ilvl w:val="0"/>
          <w:numId w:val="1001"/>
        </w:numPr>
        <w:pStyle w:val="Compact"/>
      </w:pPr>
      <w:r>
        <w:t xml:space="preserve">Break long pages into meaningful pages and sections. You definitely don't want one web page for every page in the PDF, nor do you want one single web page for a 75 page document.</w:t>
      </w:r>
    </w:p>
    <w:p>
      <w:pPr>
        <w:numPr>
          <w:ilvl w:val="0"/>
          <w:numId w:val="1001"/>
        </w:numPr>
        <w:pStyle w:val="Compact"/>
      </w:pPr>
      <w:r>
        <w:t xml:space="preserve">Add an easy-to-use navigation menu that always orients the reader to where they are in the document.</w:t>
      </w:r>
    </w:p>
    <w:p>
      <w:pPr>
        <w:numPr>
          <w:ilvl w:val="0"/>
          <w:numId w:val="1001"/>
        </w:numPr>
        <w:pStyle w:val="Compact"/>
      </w:pPr>
      <w:r>
        <w:t xml:space="preserve">Make headings, lists, tables, charts, and callouts easy to scan.</w:t>
      </w:r>
    </w:p>
    <w:p>
      <w:pPr>
        <w:numPr>
          <w:ilvl w:val="0"/>
          <w:numId w:val="1001"/>
        </w:numPr>
        <w:pStyle w:val="Compact"/>
      </w:pPr>
      <w:r>
        <w:t xml:space="preserve">Ensure the layout works on phones without zooming or horizontal scrolling.</w:t>
      </w:r>
    </w:p>
    <w:bookmarkEnd w:id="21"/>
    <w:bookmarkStart w:id="22" w:name="make-it-accessible"/>
    <w:p>
      <w:pPr>
        <w:pStyle w:val="Heading3"/>
      </w:pPr>
      <w:r>
        <w:t xml:space="preserve">Make it accessible</w:t>
      </w:r>
    </w:p>
    <w:p>
      <w:pPr>
        <w:pStyle w:val="FirstParagraph"/>
      </w:pPr>
      <w:r>
        <w:rPr>
          <w:iCs/>
          <w:i/>
        </w:rPr>
        <w:t xml:space="preserve">Please note: This doesn't cover everything you need to do to make your content accessible, just issues likely to arise in a conversion like this.</w:t>
      </w:r>
    </w:p>
    <w:p>
      <w:pPr>
        <w:numPr>
          <w:ilvl w:val="0"/>
          <w:numId w:val="1002"/>
        </w:numPr>
        <w:pStyle w:val="Compact"/>
      </w:pPr>
      <w:r>
        <w:t xml:space="preserve">Use semantic HTML elements for headings, lists, tables, quotations, figures, and navigation.</w:t>
      </w:r>
    </w:p>
    <w:p>
      <w:pPr>
        <w:numPr>
          <w:ilvl w:val="0"/>
          <w:numId w:val="1002"/>
        </w:numPr>
        <w:pStyle w:val="Compact"/>
      </w:pPr>
      <w:r>
        <w:t xml:space="preserve">Provide meaningful alt text for informative images.</w:t>
      </w:r>
    </w:p>
    <w:p>
      <w:pPr>
        <w:numPr>
          <w:ilvl w:val="0"/>
          <w:numId w:val="1002"/>
        </w:numPr>
        <w:pStyle w:val="Compact"/>
      </w:pPr>
      <w:r>
        <w:t xml:space="preserve">Give charts and diagrams text alternatives that communicate their key information.</w:t>
      </w:r>
    </w:p>
    <w:p>
      <w:pPr>
        <w:numPr>
          <w:ilvl w:val="0"/>
          <w:numId w:val="1002"/>
        </w:numPr>
        <w:pStyle w:val="Compact"/>
      </w:pPr>
      <w:r>
        <w:t xml:space="preserve">Make tables understandable with proper row and column headers.</w:t>
      </w:r>
    </w:p>
    <w:bookmarkEnd w:id="22"/>
    <w:bookmarkStart w:id="23" w:name="improve-search-and-ai-understanding"/>
    <w:p>
      <w:pPr>
        <w:pStyle w:val="Heading3"/>
      </w:pPr>
      <w:r>
        <w:t xml:space="preserve">Improve search and AI understanding</w:t>
      </w:r>
    </w:p>
    <w:p>
      <w:pPr>
        <w:numPr>
          <w:ilvl w:val="0"/>
          <w:numId w:val="1003"/>
        </w:numPr>
        <w:pStyle w:val="Compact"/>
      </w:pPr>
      <w:r>
        <w:t xml:space="preserve">Give each substantial page a clear, specific title and primary heading.</w:t>
      </w:r>
    </w:p>
    <w:p>
      <w:pPr>
        <w:numPr>
          <w:ilvl w:val="0"/>
          <w:numId w:val="1003"/>
        </w:numPr>
        <w:pStyle w:val="Compact"/>
      </w:pPr>
      <w:r>
        <w:t xml:space="preserve">Use descriptive section headings that reflect the questions or subjects being addressed.</w:t>
      </w:r>
    </w:p>
    <w:p>
      <w:pPr>
        <w:numPr>
          <w:ilvl w:val="0"/>
          <w:numId w:val="1003"/>
        </w:numPr>
        <w:pStyle w:val="Compact"/>
      </w:pPr>
      <w:r>
        <w:t xml:space="preserve">Keep important findings in live text, not only inside images or charts.</w:t>
      </w:r>
    </w:p>
    <w:p>
      <w:pPr>
        <w:numPr>
          <w:ilvl w:val="0"/>
          <w:numId w:val="1003"/>
        </w:numPr>
        <w:pStyle w:val="Compact"/>
      </w:pPr>
      <w:r>
        <w:t xml:space="preserve">Make authorship, publication date, organization, and source information explicit.</w:t>
      </w:r>
    </w:p>
    <w:p>
      <w:pPr>
        <w:numPr>
          <w:ilvl w:val="0"/>
          <w:numId w:val="1003"/>
        </w:numPr>
        <w:pStyle w:val="Compact"/>
      </w:pPr>
      <w:r>
        <w:t xml:space="preserve">Add a concise summary that states what the report covers and why it matters.</w:t>
      </w:r>
    </w:p>
    <w:p>
      <w:pPr>
        <w:numPr>
          <w:ilvl w:val="0"/>
          <w:numId w:val="1003"/>
        </w:numPr>
        <w:pStyle w:val="Compact"/>
      </w:pPr>
      <w:r>
        <w:t xml:space="preserve">Use stable URLs for major sections when they deserve separate pages.</w:t>
      </w:r>
    </w:p>
    <w:p>
      <w:pPr>
        <w:numPr>
          <w:ilvl w:val="0"/>
          <w:numId w:val="1003"/>
        </w:numPr>
        <w:pStyle w:val="Compact"/>
      </w:pPr>
      <w:r>
        <w:t xml:space="preserve">Link related sections together so their relationships are explicit.</w:t>
      </w:r>
    </w:p>
    <w:p>
      <w:pPr>
        <w:numPr>
          <w:ilvl w:val="0"/>
          <w:numId w:val="1003"/>
        </w:numPr>
        <w:pStyle w:val="Compact"/>
      </w:pPr>
      <w:r>
        <w:t xml:space="preserve">Add appropriate metadata and structured data without treating either as a substitute for clear content.</w:t>
      </w:r>
    </w:p>
    <w:bookmarkEnd w:id="23"/>
    <w:bookmarkStart w:id="24" w:name="Xaf4d9d18ef87e849bdb92a731c94fcea4f629da"/>
    <w:p>
      <w:pPr>
        <w:pStyle w:val="Heading3"/>
      </w:pPr>
      <w:r>
        <w:t xml:space="preserve">Handle charts, tables, and figures deliberately</w:t>
      </w:r>
    </w:p>
    <w:p>
      <w:pPr>
        <w:numPr>
          <w:ilvl w:val="0"/>
          <w:numId w:val="1004"/>
        </w:numPr>
        <w:pStyle w:val="Compact"/>
      </w:pPr>
      <w:r>
        <w:t xml:space="preserve">Do not publish important charts as unexplained images.</w:t>
      </w:r>
    </w:p>
    <w:p>
      <w:pPr>
        <w:numPr>
          <w:ilvl w:val="0"/>
          <w:numId w:val="1004"/>
        </w:numPr>
        <w:pStyle w:val="Compact"/>
      </w:pPr>
      <w:r>
        <w:t xml:space="preserve">Include the chart title, key takeaway, labels, source, and underlying data where practical.</w:t>
      </w:r>
    </w:p>
    <w:p>
      <w:pPr>
        <w:numPr>
          <w:ilvl w:val="0"/>
          <w:numId w:val="1004"/>
        </w:numPr>
        <w:pStyle w:val="Compact"/>
      </w:pPr>
      <w:r>
        <w:t xml:space="preserve">Rebuild simple tables as real HTML tables.</w:t>
      </w:r>
    </w:p>
    <w:p>
      <w:pPr>
        <w:numPr>
          <w:ilvl w:val="0"/>
          <w:numId w:val="1004"/>
        </w:numPr>
        <w:pStyle w:val="Compact"/>
      </w:pPr>
      <w:r>
        <w:t xml:space="preserve">Keep captions and source notes attached to the correct figure.</w:t>
      </w:r>
    </w:p>
    <w:p>
      <w:pPr>
        <w:numPr>
          <w:ilvl w:val="0"/>
          <w:numId w:val="1004"/>
        </w:numPr>
        <w:pStyle w:val="Compact"/>
      </w:pPr>
      <w:r>
        <w:t xml:space="preserve">Preserve important visual distinctions without forcing readers to interpret the original page design.</w:t>
      </w:r>
    </w:p>
    <w:bookmarkEnd w:id="24"/>
    <w:bookmarkStart w:id="25" w:name="edit-for-the-medium"/>
    <w:p>
      <w:pPr>
        <w:pStyle w:val="Heading3"/>
      </w:pPr>
      <w:r>
        <w:t xml:space="preserve">Edit for the medium</w:t>
      </w:r>
    </w:p>
    <w:p>
      <w:pPr>
        <w:numPr>
          <w:ilvl w:val="0"/>
          <w:numId w:val="1005"/>
        </w:numPr>
        <w:pStyle w:val="Compact"/>
      </w:pPr>
      <w:r>
        <w:t xml:space="preserve">Remove page numbers, running headers, print-only instructions, and references such as “see opposite page.”</w:t>
      </w:r>
    </w:p>
    <w:p>
      <w:pPr>
        <w:numPr>
          <w:ilvl w:val="0"/>
          <w:numId w:val="1005"/>
        </w:numPr>
        <w:pStyle w:val="Compact"/>
      </w:pPr>
      <w:r>
        <w:t xml:space="preserve">Replace page-based navigation with section-based navigation.</w:t>
      </w:r>
    </w:p>
    <w:p>
      <w:pPr>
        <w:numPr>
          <w:ilvl w:val="0"/>
          <w:numId w:val="1005"/>
        </w:numPr>
        <w:pStyle w:val="Compact"/>
      </w:pPr>
      <w:r>
        <w:t xml:space="preserve">Rewrite links and cross-references so they work online.</w:t>
      </w:r>
    </w:p>
    <w:p>
      <w:pPr>
        <w:numPr>
          <w:ilvl w:val="0"/>
          <w:numId w:val="1005"/>
        </w:numPr>
        <w:pStyle w:val="Compact"/>
      </w:pPr>
      <w:r>
        <w:t xml:space="preserve">Decide whether repeated introductory material is still useful on every page.</w:t>
      </w:r>
    </w:p>
    <w:p>
      <w:pPr>
        <w:numPr>
          <w:ilvl w:val="0"/>
          <w:numId w:val="1005"/>
        </w:numPr>
        <w:pStyle w:val="Compact"/>
      </w:pPr>
      <w:r>
        <w:t xml:space="preserve">Add context where content previously depended on physical proximity within a spread.</w:t>
      </w:r>
    </w:p>
    <w:bookmarkEnd w:id="25"/>
    <w:bookmarkStart w:id="26" w:name="keep-the-pdf-but-define-its-role"/>
    <w:p>
      <w:pPr>
        <w:pStyle w:val="Heading3"/>
      </w:pPr>
      <w:r>
        <w:t xml:space="preserve">Keep the PDF, but define its role</w:t>
      </w:r>
    </w:p>
    <w:p>
      <w:pPr>
        <w:numPr>
          <w:ilvl w:val="0"/>
          <w:numId w:val="1006"/>
        </w:numPr>
        <w:pStyle w:val="Compact"/>
      </w:pPr>
      <w:r>
        <w:t xml:space="preserve">Offer the original PDF for download when it remains useful as the official or printable edition.</w:t>
      </w:r>
    </w:p>
    <w:p>
      <w:pPr>
        <w:numPr>
          <w:ilvl w:val="0"/>
          <w:numId w:val="1006"/>
        </w:numPr>
        <w:pStyle w:val="Compact"/>
      </w:pPr>
      <w:r>
        <w:t xml:space="preserve">Make the HTML version the primary readable and discoverable version.</w:t>
      </w:r>
    </w:p>
    <w:p>
      <w:pPr>
        <w:numPr>
          <w:ilvl w:val="0"/>
          <w:numId w:val="1006"/>
        </w:numPr>
        <w:pStyle w:val="Compact"/>
      </w:pPr>
      <w:r>
        <w:t xml:space="preserve">Clearly connect the PDF and HTML editions.</w:t>
      </w:r>
    </w:p>
    <w:p>
      <w:pPr>
        <w:numPr>
          <w:ilvl w:val="0"/>
          <w:numId w:val="1006"/>
        </w:numPr>
        <w:pStyle w:val="Compact"/>
      </w:pPr>
      <w:r>
        <w:t xml:space="preserve">Avoid publishing several near-identical versions without a clear canonical source.</w:t>
      </w:r>
    </w:p>
    <w:bookmarkEnd w:id="26"/>
    <w:bookmarkStart w:id="27" w:name="review-before-publishing"/>
    <w:p>
      <w:pPr>
        <w:pStyle w:val="Heading3"/>
      </w:pPr>
      <w:r>
        <w:t xml:space="preserve">Review before publishing</w:t>
      </w:r>
    </w:p>
    <w:p>
      <w:pPr>
        <w:numPr>
          <w:ilvl w:val="0"/>
          <w:numId w:val="1007"/>
        </w:numPr>
        <w:pStyle w:val="Compact"/>
      </w:pPr>
      <w:r>
        <w:t xml:space="preserve">Compare the HTML against the original section by section.</w:t>
      </w:r>
    </w:p>
    <w:p>
      <w:pPr>
        <w:numPr>
          <w:ilvl w:val="0"/>
          <w:numId w:val="1007"/>
        </w:numPr>
        <w:pStyle w:val="Compact"/>
      </w:pPr>
      <w:r>
        <w:t xml:space="preserve">Check headings, reading order, citations, callouts, tables, charts, and footnotes.</w:t>
      </w:r>
    </w:p>
    <w:p>
      <w:pPr>
        <w:numPr>
          <w:ilvl w:val="0"/>
          <w:numId w:val="1007"/>
        </w:numPr>
        <w:pStyle w:val="Compact"/>
      </w:pPr>
      <w:r>
        <w:t xml:space="preserve">Test on desktop and mobile.</w:t>
      </w:r>
    </w:p>
    <w:p>
      <w:pPr>
        <w:numPr>
          <w:ilvl w:val="0"/>
          <w:numId w:val="1007"/>
        </w:numPr>
        <w:pStyle w:val="Compact"/>
      </w:pPr>
      <w:r>
        <w:t xml:space="preserve">Run accessibility checks, then perform manual review.</w:t>
      </w:r>
    </w:p>
    <w:p>
      <w:pPr>
        <w:numPr>
          <w:ilvl w:val="0"/>
          <w:numId w:val="1007"/>
        </w:numPr>
        <w:pStyle w:val="Compact"/>
      </w:pPr>
      <w:r>
        <w:t xml:space="preserve">Confirm that a reader can find, understand, quote, and link directly to the report’s most important ideas.</w:t>
      </w:r>
    </w:p>
    <w:p>
      <w:pPr>
        <w:numPr>
          <w:ilvl w:val="0"/>
          <w:numId w:val="1007"/>
        </w:numPr>
        <w:pStyle w:val="Compact"/>
      </w:pPr>
      <w:r>
        <w:t xml:space="preserve">Have someone who knows the publication approve the final structure and meaning.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reportkitchen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reportkitchen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2026-08-06T12:10:09Z</dcterms:created>
  <dcterms:modified xsi:type="dcterms:W3CDTF">2026-08-06T12:10:09Z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